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pPr w:leftFromText="141" w:rightFromText="141" w:horzAnchor="margin" w:tblpXSpec="center" w:tblpY="-302"/>
        <w:tblW w:w="15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991"/>
        <w:gridCol w:w="2617"/>
        <w:gridCol w:w="3661"/>
        <w:gridCol w:w="3523"/>
      </w:tblGrid>
      <w:tr w:rsidR="00BB17FE" w:rsidTr="00942756">
        <w:trPr>
          <w:trHeight w:val="1411"/>
        </w:trPr>
        <w:tc>
          <w:tcPr>
            <w:tcW w:w="2829" w:type="dxa"/>
          </w:tcPr>
          <w:p w:rsidR="00BB17FE" w:rsidRDefault="00BB17FE" w:rsidP="00BB17FE">
            <w:pPr>
              <w:pStyle w:val="TableParagraph"/>
              <w:spacing w:before="45"/>
              <w:rPr>
                <w:b/>
                <w:sz w:val="20"/>
              </w:rPr>
            </w:pPr>
          </w:p>
          <w:p w:rsidR="00BB17FE" w:rsidRDefault="00BB17FE" w:rsidP="00BB17FE">
            <w:pPr>
              <w:pStyle w:val="TableParagraph"/>
              <w:ind w:left="549"/>
              <w:rPr>
                <w:sz w:val="20"/>
              </w:rPr>
            </w:pPr>
            <w:r>
              <w:rPr>
                <w:noProof/>
                <w:sz w:val="20"/>
                <w:lang w:eastAsia="tr-TR"/>
              </w:rPr>
              <w:drawing>
                <wp:inline distT="0" distB="0" distL="0" distR="0" wp14:anchorId="458158F0" wp14:editId="0E3DC402">
                  <wp:extent cx="946854" cy="98126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946854" cy="981265"/>
                          </a:xfrm>
                          <a:prstGeom prst="rect">
                            <a:avLst/>
                          </a:prstGeom>
                        </pic:spPr>
                      </pic:pic>
                    </a:graphicData>
                  </a:graphic>
                </wp:inline>
              </w:drawing>
            </w:r>
          </w:p>
        </w:tc>
        <w:tc>
          <w:tcPr>
            <w:tcW w:w="9269" w:type="dxa"/>
            <w:gridSpan w:val="3"/>
          </w:tcPr>
          <w:p w:rsidR="00BB17FE" w:rsidRDefault="00BB17FE" w:rsidP="00942756">
            <w:pPr>
              <w:pStyle w:val="TableParagraph"/>
              <w:rPr>
                <w:b/>
              </w:rPr>
            </w:pPr>
          </w:p>
          <w:p w:rsidR="00BB17FE" w:rsidRPr="00942756" w:rsidRDefault="00BB17FE" w:rsidP="00942756">
            <w:pPr>
              <w:pStyle w:val="TableParagraph"/>
              <w:ind w:left="32" w:right="24"/>
              <w:jc w:val="center"/>
              <w:rPr>
                <w:b/>
                <w:sz w:val="28"/>
                <w:szCs w:val="28"/>
              </w:rPr>
            </w:pPr>
            <w:r w:rsidRPr="00942756">
              <w:rPr>
                <w:b/>
                <w:spacing w:val="-4"/>
                <w:sz w:val="28"/>
                <w:szCs w:val="28"/>
              </w:rPr>
              <w:t>T.C.</w:t>
            </w:r>
          </w:p>
          <w:p w:rsidR="00BB17FE" w:rsidRPr="00942756" w:rsidRDefault="00BB17FE" w:rsidP="00942756">
            <w:pPr>
              <w:pStyle w:val="TableParagraph"/>
              <w:spacing w:line="252" w:lineRule="exact"/>
              <w:ind w:left="35" w:right="23"/>
              <w:jc w:val="center"/>
              <w:rPr>
                <w:b/>
                <w:sz w:val="28"/>
                <w:szCs w:val="28"/>
              </w:rPr>
            </w:pPr>
            <w:r w:rsidRPr="00942756">
              <w:rPr>
                <w:b/>
                <w:sz w:val="28"/>
                <w:szCs w:val="28"/>
              </w:rPr>
              <w:t>SAĞLIK</w:t>
            </w:r>
            <w:r w:rsidRPr="00942756">
              <w:rPr>
                <w:b/>
                <w:spacing w:val="-5"/>
                <w:sz w:val="28"/>
                <w:szCs w:val="28"/>
              </w:rPr>
              <w:t xml:space="preserve"> </w:t>
            </w:r>
            <w:r w:rsidRPr="00942756">
              <w:rPr>
                <w:b/>
                <w:spacing w:val="-2"/>
                <w:sz w:val="28"/>
                <w:szCs w:val="28"/>
              </w:rPr>
              <w:t>BAKANLIĞI</w:t>
            </w:r>
          </w:p>
          <w:p w:rsidR="00BB17FE" w:rsidRPr="00942756" w:rsidRDefault="00BB17FE" w:rsidP="00942756">
            <w:pPr>
              <w:pStyle w:val="TableParagraph"/>
              <w:ind w:left="32" w:right="23"/>
              <w:jc w:val="center"/>
              <w:rPr>
                <w:b/>
                <w:sz w:val="28"/>
                <w:szCs w:val="28"/>
              </w:rPr>
            </w:pPr>
            <w:r w:rsidRPr="00942756">
              <w:rPr>
                <w:b/>
                <w:sz w:val="28"/>
                <w:szCs w:val="28"/>
              </w:rPr>
              <w:t>TÜRKİYE</w:t>
            </w:r>
            <w:r w:rsidRPr="00942756">
              <w:rPr>
                <w:b/>
                <w:spacing w:val="-10"/>
                <w:sz w:val="28"/>
                <w:szCs w:val="28"/>
              </w:rPr>
              <w:t xml:space="preserve"> </w:t>
            </w:r>
            <w:r w:rsidRPr="00942756">
              <w:rPr>
                <w:b/>
                <w:sz w:val="28"/>
                <w:szCs w:val="28"/>
              </w:rPr>
              <w:t>HUDUT</w:t>
            </w:r>
            <w:r w:rsidRPr="00942756">
              <w:rPr>
                <w:b/>
                <w:spacing w:val="-7"/>
                <w:sz w:val="28"/>
                <w:szCs w:val="28"/>
              </w:rPr>
              <w:t xml:space="preserve"> </w:t>
            </w:r>
            <w:r w:rsidRPr="00942756">
              <w:rPr>
                <w:b/>
                <w:sz w:val="28"/>
                <w:szCs w:val="28"/>
              </w:rPr>
              <w:t>VE</w:t>
            </w:r>
            <w:r w:rsidRPr="00942756">
              <w:rPr>
                <w:b/>
                <w:spacing w:val="-7"/>
                <w:sz w:val="28"/>
                <w:szCs w:val="28"/>
              </w:rPr>
              <w:t xml:space="preserve"> </w:t>
            </w:r>
            <w:r w:rsidRPr="00942756">
              <w:rPr>
                <w:b/>
                <w:sz w:val="28"/>
                <w:szCs w:val="28"/>
              </w:rPr>
              <w:t>SAHİLLER</w:t>
            </w:r>
            <w:r w:rsidRPr="00942756">
              <w:rPr>
                <w:b/>
                <w:spacing w:val="40"/>
                <w:sz w:val="28"/>
                <w:szCs w:val="28"/>
              </w:rPr>
              <w:t xml:space="preserve"> </w:t>
            </w:r>
            <w:r w:rsidRPr="00942756">
              <w:rPr>
                <w:b/>
                <w:sz w:val="28"/>
                <w:szCs w:val="28"/>
              </w:rPr>
              <w:t>SAĞLIK</w:t>
            </w:r>
            <w:r w:rsidRPr="00942756">
              <w:rPr>
                <w:b/>
                <w:spacing w:val="-5"/>
                <w:sz w:val="28"/>
                <w:szCs w:val="28"/>
              </w:rPr>
              <w:t xml:space="preserve"> </w:t>
            </w:r>
            <w:r w:rsidRPr="00942756">
              <w:rPr>
                <w:b/>
                <w:sz w:val="28"/>
                <w:szCs w:val="28"/>
              </w:rPr>
              <w:t xml:space="preserve">GENEL </w:t>
            </w:r>
            <w:r w:rsidRPr="00942756">
              <w:rPr>
                <w:b/>
                <w:spacing w:val="-2"/>
                <w:sz w:val="28"/>
                <w:szCs w:val="28"/>
              </w:rPr>
              <w:t>MÜDÜRLÜĞÜ</w:t>
            </w:r>
          </w:p>
          <w:p w:rsidR="00BB17FE" w:rsidRDefault="00D506B5" w:rsidP="00942756">
            <w:pPr>
              <w:pStyle w:val="TableParagraph"/>
              <w:ind w:left="57"/>
              <w:jc w:val="center"/>
              <w:rPr>
                <w:b/>
              </w:rPr>
            </w:pPr>
            <w:r w:rsidRPr="00CD385A">
              <w:rPr>
                <w:b/>
                <w:sz w:val="28"/>
                <w:szCs w:val="15"/>
                <w:lang w:eastAsia="ar-SA"/>
              </w:rPr>
              <w:t>BULAŞICI HASTALIKLARDA İŞ SAĞLIĞI VE GÜVENLİĞİ TALİMATI</w:t>
            </w:r>
          </w:p>
        </w:tc>
        <w:tc>
          <w:tcPr>
            <w:tcW w:w="3523" w:type="dxa"/>
          </w:tcPr>
          <w:p w:rsidR="00BB17FE" w:rsidRDefault="00BB17FE" w:rsidP="00BB17FE">
            <w:pPr>
              <w:pStyle w:val="TableParagraph"/>
              <w:spacing w:before="45"/>
              <w:rPr>
                <w:b/>
                <w:sz w:val="20"/>
              </w:rPr>
            </w:pPr>
          </w:p>
          <w:p w:rsidR="00BB17FE" w:rsidRDefault="00BB17FE" w:rsidP="00BB17FE">
            <w:pPr>
              <w:pStyle w:val="TableParagraph"/>
              <w:ind w:left="756"/>
              <w:rPr>
                <w:sz w:val="20"/>
              </w:rPr>
            </w:pPr>
            <w:r>
              <w:rPr>
                <w:noProof/>
                <w:sz w:val="20"/>
                <w:lang w:eastAsia="tr-TR"/>
              </w:rPr>
              <w:drawing>
                <wp:inline distT="0" distB="0" distL="0" distR="0" wp14:anchorId="72954BE0" wp14:editId="648CD7B2">
                  <wp:extent cx="1109604" cy="952976"/>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1109604" cy="952976"/>
                          </a:xfrm>
                          <a:prstGeom prst="rect">
                            <a:avLst/>
                          </a:prstGeom>
                        </pic:spPr>
                      </pic:pic>
                    </a:graphicData>
                  </a:graphic>
                </wp:inline>
              </w:drawing>
            </w:r>
          </w:p>
        </w:tc>
      </w:tr>
      <w:tr w:rsidR="00BB17FE" w:rsidTr="00942756">
        <w:trPr>
          <w:trHeight w:val="271"/>
        </w:trPr>
        <w:tc>
          <w:tcPr>
            <w:tcW w:w="2829" w:type="dxa"/>
          </w:tcPr>
          <w:p w:rsidR="00BB17FE" w:rsidRDefault="00BB17FE" w:rsidP="00BB17FE">
            <w:pPr>
              <w:pStyle w:val="TableParagraph"/>
              <w:spacing w:before="1"/>
              <w:rPr>
                <w:sz w:val="18"/>
              </w:rPr>
            </w:pPr>
          </w:p>
          <w:p w:rsidR="00BB17FE" w:rsidRDefault="00BB17FE" w:rsidP="00BB17FE">
            <w:pPr>
              <w:pStyle w:val="TableParagraph"/>
              <w:ind w:left="333"/>
              <w:rPr>
                <w:b/>
                <w:sz w:val="18"/>
              </w:rPr>
            </w:pPr>
            <w:proofErr w:type="spellStart"/>
            <w:r>
              <w:rPr>
                <w:b/>
                <w:sz w:val="18"/>
              </w:rPr>
              <w:t>Doküman</w:t>
            </w:r>
            <w:proofErr w:type="spellEnd"/>
            <w:r>
              <w:rPr>
                <w:b/>
                <w:spacing w:val="-5"/>
                <w:sz w:val="18"/>
              </w:rPr>
              <w:t xml:space="preserve"> </w:t>
            </w:r>
            <w:r>
              <w:rPr>
                <w:b/>
                <w:sz w:val="18"/>
              </w:rPr>
              <w:t>No:</w:t>
            </w:r>
            <w:r>
              <w:rPr>
                <w:b/>
                <w:spacing w:val="-2"/>
                <w:sz w:val="18"/>
              </w:rPr>
              <w:t xml:space="preserve"> </w:t>
            </w:r>
            <w:r w:rsidR="00D506B5">
              <w:rPr>
                <w:b/>
                <w:spacing w:val="-5"/>
                <w:sz w:val="18"/>
              </w:rPr>
              <w:t>2</w:t>
            </w:r>
          </w:p>
        </w:tc>
        <w:tc>
          <w:tcPr>
            <w:tcW w:w="2991" w:type="dxa"/>
          </w:tcPr>
          <w:p w:rsidR="00BB17FE" w:rsidRDefault="00BB17FE" w:rsidP="00BB17FE">
            <w:pPr>
              <w:pStyle w:val="TableParagraph"/>
              <w:spacing w:before="1"/>
              <w:rPr>
                <w:sz w:val="18"/>
              </w:rPr>
            </w:pPr>
          </w:p>
          <w:p w:rsidR="00BB17FE" w:rsidRDefault="00BB17FE" w:rsidP="00BB17FE">
            <w:pPr>
              <w:pStyle w:val="TableParagraph"/>
              <w:ind w:left="242"/>
              <w:rPr>
                <w:b/>
                <w:sz w:val="18"/>
              </w:rPr>
            </w:pPr>
            <w:proofErr w:type="spellStart"/>
            <w:r>
              <w:rPr>
                <w:b/>
                <w:sz w:val="18"/>
              </w:rPr>
              <w:t>Yayım</w:t>
            </w:r>
            <w:proofErr w:type="spellEnd"/>
            <w:r>
              <w:rPr>
                <w:b/>
                <w:spacing w:val="-6"/>
                <w:sz w:val="18"/>
              </w:rPr>
              <w:t xml:space="preserve"> </w:t>
            </w:r>
            <w:proofErr w:type="spellStart"/>
            <w:r>
              <w:rPr>
                <w:b/>
                <w:sz w:val="18"/>
              </w:rPr>
              <w:t>Tarihi</w:t>
            </w:r>
            <w:proofErr w:type="spellEnd"/>
            <w:r>
              <w:rPr>
                <w:b/>
                <w:spacing w:val="2"/>
                <w:sz w:val="18"/>
              </w:rPr>
              <w:t xml:space="preserve"> </w:t>
            </w:r>
            <w:r>
              <w:rPr>
                <w:b/>
                <w:spacing w:val="-2"/>
                <w:sz w:val="18"/>
              </w:rPr>
              <w:t>28.08.2026</w:t>
            </w:r>
          </w:p>
        </w:tc>
        <w:tc>
          <w:tcPr>
            <w:tcW w:w="2617" w:type="dxa"/>
          </w:tcPr>
          <w:p w:rsidR="00BB17FE" w:rsidRDefault="00BB17FE" w:rsidP="00BB17FE">
            <w:pPr>
              <w:pStyle w:val="TableParagraph"/>
              <w:spacing w:before="105"/>
              <w:ind w:left="578" w:right="351" w:hanging="216"/>
              <w:rPr>
                <w:b/>
                <w:sz w:val="18"/>
              </w:rPr>
            </w:pPr>
            <w:proofErr w:type="spellStart"/>
            <w:r>
              <w:rPr>
                <w:b/>
                <w:sz w:val="18"/>
              </w:rPr>
              <w:t>Revizyon</w:t>
            </w:r>
            <w:proofErr w:type="spellEnd"/>
            <w:r>
              <w:rPr>
                <w:b/>
                <w:spacing w:val="-12"/>
                <w:sz w:val="18"/>
              </w:rPr>
              <w:t xml:space="preserve"> </w:t>
            </w:r>
            <w:proofErr w:type="spellStart"/>
            <w:r>
              <w:rPr>
                <w:b/>
                <w:sz w:val="18"/>
              </w:rPr>
              <w:t>Tarihi</w:t>
            </w:r>
            <w:proofErr w:type="spellEnd"/>
            <w:r>
              <w:rPr>
                <w:b/>
                <w:sz w:val="18"/>
              </w:rPr>
              <w:t xml:space="preserve"> </w:t>
            </w:r>
            <w:r>
              <w:rPr>
                <w:b/>
                <w:spacing w:val="-2"/>
                <w:sz w:val="18"/>
              </w:rPr>
              <w:t>28.08.2026</w:t>
            </w:r>
          </w:p>
        </w:tc>
        <w:tc>
          <w:tcPr>
            <w:tcW w:w="3661" w:type="dxa"/>
          </w:tcPr>
          <w:p w:rsidR="00BB17FE" w:rsidRDefault="00BB17FE" w:rsidP="00BB17FE">
            <w:pPr>
              <w:pStyle w:val="TableParagraph"/>
              <w:spacing w:before="1"/>
              <w:rPr>
                <w:sz w:val="18"/>
              </w:rPr>
            </w:pPr>
          </w:p>
          <w:p w:rsidR="00BB17FE" w:rsidRDefault="00BB17FE" w:rsidP="00BB17FE">
            <w:pPr>
              <w:pStyle w:val="TableParagraph"/>
              <w:ind w:left="281"/>
              <w:rPr>
                <w:b/>
                <w:sz w:val="18"/>
              </w:rPr>
            </w:pPr>
            <w:proofErr w:type="spellStart"/>
            <w:r>
              <w:rPr>
                <w:b/>
                <w:sz w:val="18"/>
              </w:rPr>
              <w:t>Revizyon</w:t>
            </w:r>
            <w:proofErr w:type="spellEnd"/>
            <w:r>
              <w:rPr>
                <w:b/>
                <w:spacing w:val="-6"/>
                <w:sz w:val="18"/>
              </w:rPr>
              <w:t xml:space="preserve"> </w:t>
            </w:r>
            <w:proofErr w:type="spellStart"/>
            <w:r>
              <w:rPr>
                <w:b/>
                <w:sz w:val="18"/>
              </w:rPr>
              <w:t>Numarası</w:t>
            </w:r>
            <w:proofErr w:type="spellEnd"/>
            <w:r>
              <w:rPr>
                <w:b/>
                <w:spacing w:val="-4"/>
                <w:sz w:val="18"/>
              </w:rPr>
              <w:t xml:space="preserve"> </w:t>
            </w:r>
            <w:r>
              <w:rPr>
                <w:b/>
                <w:spacing w:val="-5"/>
                <w:sz w:val="18"/>
              </w:rPr>
              <w:t>01</w:t>
            </w:r>
          </w:p>
        </w:tc>
        <w:tc>
          <w:tcPr>
            <w:tcW w:w="3523" w:type="dxa"/>
          </w:tcPr>
          <w:p w:rsidR="00BB17FE" w:rsidRDefault="00BB17FE" w:rsidP="00BB17FE">
            <w:pPr>
              <w:pStyle w:val="TableParagraph"/>
              <w:spacing w:before="105"/>
              <w:ind w:left="526" w:right="287" w:hanging="226"/>
              <w:rPr>
                <w:b/>
                <w:sz w:val="18"/>
              </w:rPr>
            </w:pPr>
            <w:proofErr w:type="spellStart"/>
            <w:r>
              <w:rPr>
                <w:b/>
                <w:sz w:val="18"/>
              </w:rPr>
              <w:t>Sayfa</w:t>
            </w:r>
            <w:proofErr w:type="spellEnd"/>
            <w:r>
              <w:rPr>
                <w:b/>
                <w:spacing w:val="-12"/>
                <w:sz w:val="18"/>
              </w:rPr>
              <w:t xml:space="preserve"> </w:t>
            </w:r>
            <w:r>
              <w:rPr>
                <w:b/>
                <w:sz w:val="18"/>
              </w:rPr>
              <w:t>No/</w:t>
            </w:r>
            <w:proofErr w:type="spellStart"/>
            <w:r>
              <w:rPr>
                <w:b/>
                <w:sz w:val="18"/>
              </w:rPr>
              <w:t>Sayfa</w:t>
            </w:r>
            <w:proofErr w:type="spellEnd"/>
            <w:r>
              <w:rPr>
                <w:b/>
                <w:sz w:val="18"/>
              </w:rPr>
              <w:t xml:space="preserve"> </w:t>
            </w:r>
            <w:proofErr w:type="spellStart"/>
            <w:r>
              <w:rPr>
                <w:b/>
                <w:sz w:val="18"/>
              </w:rPr>
              <w:t>Sayısı</w:t>
            </w:r>
            <w:proofErr w:type="spellEnd"/>
            <w:r>
              <w:rPr>
                <w:b/>
                <w:sz w:val="18"/>
              </w:rPr>
              <w:t xml:space="preserve"> 1/1</w:t>
            </w:r>
          </w:p>
        </w:tc>
      </w:tr>
    </w:tbl>
    <w:p w:rsidR="008428F4" w:rsidRPr="00C7385E" w:rsidRDefault="008428F4">
      <w:pPr>
        <w:rPr>
          <w:sz w:val="24"/>
          <w:szCs w:val="25"/>
        </w:rPr>
      </w:pPr>
    </w:p>
    <w:p w:rsidR="00D506B5" w:rsidRPr="00D506B5" w:rsidRDefault="00D506B5" w:rsidP="00D506B5">
      <w:pPr>
        <w:ind w:left="-709" w:right="-880"/>
        <w:jc w:val="both"/>
        <w:rPr>
          <w:rFonts w:eastAsia="TimesNewRomanPSMT"/>
          <w:sz w:val="26"/>
          <w:szCs w:val="26"/>
        </w:rPr>
      </w:pPr>
      <w:r w:rsidRPr="00D506B5">
        <w:rPr>
          <w:rFonts w:eastAsia="TimesNewRomanPSMT"/>
          <w:b/>
          <w:color w:val="FF0000"/>
          <w:sz w:val="26"/>
          <w:szCs w:val="26"/>
        </w:rPr>
        <w:t>1. Zorunlu El Hijyeni:</w:t>
      </w:r>
      <w:r w:rsidRPr="00D506B5">
        <w:rPr>
          <w:rFonts w:eastAsia="TimesNewRomanPSMT"/>
          <w:color w:val="FF0000"/>
          <w:sz w:val="26"/>
          <w:szCs w:val="26"/>
        </w:rPr>
        <w:t xml:space="preserve"> </w:t>
      </w:r>
      <w:r w:rsidRPr="00D506B5">
        <w:rPr>
          <w:rFonts w:eastAsia="TimesNewRomanPSMT"/>
          <w:sz w:val="26"/>
          <w:szCs w:val="26"/>
        </w:rPr>
        <w:t>Her çalışan; iş başı yapmadan önce, yemeklerden önce/sonra, tuvalet kullanımından sonra ve ortak alan temaslarında ellerini su ve sabunla, parmak araları ve tırnak yatakları dâhil olacak şekilde yıkamak zorundadır. Suya erişimin olmadığı alanlarda el antiseptiği kullanımı zorunludur.</w:t>
      </w:r>
    </w:p>
    <w:p w:rsidR="00D506B5" w:rsidRPr="00D506B5" w:rsidRDefault="00D506B5" w:rsidP="00D506B5">
      <w:pPr>
        <w:ind w:left="-709" w:right="-880"/>
        <w:jc w:val="both"/>
        <w:rPr>
          <w:rFonts w:eastAsia="TimesNewRomanPSMT"/>
          <w:sz w:val="26"/>
          <w:szCs w:val="26"/>
        </w:rPr>
      </w:pPr>
      <w:r w:rsidRPr="00D506B5">
        <w:rPr>
          <w:rFonts w:eastAsia="TimesNewRomanPSMT"/>
          <w:b/>
          <w:color w:val="FF0000"/>
          <w:sz w:val="26"/>
          <w:szCs w:val="26"/>
        </w:rPr>
        <w:t>2. Solunum Etiketi Uygulaması:</w:t>
      </w:r>
      <w:r w:rsidRPr="00D506B5">
        <w:rPr>
          <w:rFonts w:eastAsia="TimesNewRomanPSMT"/>
          <w:sz w:val="26"/>
          <w:szCs w:val="26"/>
        </w:rPr>
        <w:t xml:space="preserve"> Öksürme ve hapşırma esnasında ağız ve burun tek kullanımlık kâğıt mendille kapatılacaktır. Mendil bulunmaması halinde dirsek içi kullanılmalıdır. Kullanılmış mendiller kesinlikle açıkta bırakılmayacak, derhal kapaklı atık kumbaralarına atılmalıdır.</w:t>
      </w:r>
    </w:p>
    <w:p w:rsidR="00D506B5" w:rsidRPr="00D506B5" w:rsidRDefault="00D506B5" w:rsidP="00D506B5">
      <w:pPr>
        <w:ind w:left="-709" w:right="-880"/>
        <w:jc w:val="both"/>
        <w:rPr>
          <w:rFonts w:eastAsia="TimesNewRomanPSMT"/>
          <w:sz w:val="26"/>
          <w:szCs w:val="26"/>
        </w:rPr>
      </w:pPr>
      <w:r w:rsidRPr="00D506B5">
        <w:rPr>
          <w:rFonts w:eastAsia="TimesNewRomanPSMT"/>
          <w:b/>
          <w:color w:val="FF0000"/>
          <w:sz w:val="26"/>
          <w:szCs w:val="26"/>
        </w:rPr>
        <w:t>3.Kişisel Koruyucu Donanım (KKD):</w:t>
      </w:r>
      <w:r w:rsidRPr="00D506B5">
        <w:rPr>
          <w:rFonts w:eastAsia="TimesNewRomanPSMT"/>
          <w:sz w:val="26"/>
          <w:szCs w:val="26"/>
        </w:rPr>
        <w:t xml:space="preserve"> İş yeri hekimi/ İSG kurulu/ ulusal ve uluslararası kurumların direktifleri doğrultusunda takılması zorunlu kılınan maske, eldiven, siperlik veya koruyucu önlük gibi KKD’ler, çalışma süresince eksiksiz, nizami ve kesintisiz olarak kullanılmalıdır. Maskeler kirlendikçe veya nemlendikçe yenisiyle değiştirilmelidir.</w:t>
      </w:r>
    </w:p>
    <w:p w:rsidR="00D506B5" w:rsidRPr="00D506B5" w:rsidRDefault="00D506B5" w:rsidP="00D506B5">
      <w:pPr>
        <w:ind w:left="-709" w:right="-880"/>
        <w:jc w:val="both"/>
        <w:rPr>
          <w:rFonts w:eastAsia="TimesNewRomanPSMT"/>
          <w:sz w:val="26"/>
          <w:szCs w:val="26"/>
        </w:rPr>
      </w:pPr>
      <w:r w:rsidRPr="00D506B5">
        <w:rPr>
          <w:rFonts w:eastAsia="TimesNewRomanPSMT"/>
          <w:b/>
          <w:color w:val="FF0000"/>
          <w:sz w:val="26"/>
          <w:szCs w:val="26"/>
        </w:rPr>
        <w:t>4.Kişisel Eşya ve Ekipman Kullanımı:</w:t>
      </w:r>
      <w:r w:rsidRPr="00D506B5">
        <w:rPr>
          <w:rFonts w:eastAsia="TimesNewRomanPSMT"/>
          <w:sz w:val="26"/>
          <w:szCs w:val="26"/>
        </w:rPr>
        <w:t xml:space="preserve"> Ortak bardak, tabak, çatal, kaşık kullanımı ve personel arasında bu eşyaların paylaşılması kesinlikle yasaktır. Ofis ortamında kalem, hesap makinesi ve zımba gibi masaüstü araçlarının ortak kullanılmamasına özen gösterilmelidir.</w:t>
      </w:r>
    </w:p>
    <w:p w:rsidR="00D506B5" w:rsidRPr="00D506B5" w:rsidRDefault="00D506B5" w:rsidP="00D506B5">
      <w:pPr>
        <w:ind w:left="-709" w:right="-880"/>
        <w:jc w:val="both"/>
        <w:rPr>
          <w:rFonts w:eastAsia="TimesNewRomanPSMT"/>
          <w:sz w:val="26"/>
          <w:szCs w:val="26"/>
        </w:rPr>
      </w:pPr>
      <w:r w:rsidRPr="00D506B5">
        <w:rPr>
          <w:rFonts w:eastAsia="TimesNewRomanPSMT"/>
          <w:b/>
          <w:color w:val="FF0000"/>
          <w:sz w:val="26"/>
          <w:szCs w:val="26"/>
        </w:rPr>
        <w:t>5. Çalışma Alanı Antisepsi Sorumluluğu:</w:t>
      </w:r>
      <w:r w:rsidRPr="00D506B5">
        <w:rPr>
          <w:rFonts w:eastAsia="TimesNewRomanPSMT"/>
          <w:sz w:val="26"/>
          <w:szCs w:val="26"/>
        </w:rPr>
        <w:t xml:space="preserve"> Personel; kendi sorumluluğundaki masa, klavye, fare ve telefon gibi sık temas edilen cihazları, mesai başlangıcında ve bitiminde iş yerince sağlanan yüzey dezenfektanları ile temizlemelidir.</w:t>
      </w:r>
    </w:p>
    <w:p w:rsidR="00D506B5" w:rsidRPr="00D506B5" w:rsidRDefault="00D506B5" w:rsidP="00D506B5">
      <w:pPr>
        <w:ind w:left="-709" w:right="-880"/>
        <w:jc w:val="both"/>
        <w:rPr>
          <w:rFonts w:eastAsia="TimesNewRomanPSMT"/>
          <w:sz w:val="26"/>
          <w:szCs w:val="26"/>
        </w:rPr>
      </w:pPr>
      <w:r w:rsidRPr="00D506B5">
        <w:rPr>
          <w:rFonts w:eastAsia="TimesNewRomanPSMT"/>
          <w:b/>
          <w:color w:val="FF0000"/>
          <w:sz w:val="26"/>
          <w:szCs w:val="26"/>
        </w:rPr>
        <w:t>6.Fiziksel Temas ve Mesafe Yasağı:</w:t>
      </w:r>
      <w:r w:rsidRPr="00D506B5">
        <w:rPr>
          <w:rFonts w:eastAsia="TimesNewRomanPSMT"/>
          <w:sz w:val="26"/>
          <w:szCs w:val="26"/>
        </w:rPr>
        <w:t xml:space="preserve"> İş yeri sınırları ve eklentileri (yemekhane, dinlenme alanı, servis araçları) içerisinde tokalaşma, sarılma gibi yakın temas içeren selamlama şekilleri yasaktır. Çalışma esnasında belirlenmiş olan güvenli sosyal mesafe sınırlarına mutlak suretle uyulmalıdır.</w:t>
      </w:r>
    </w:p>
    <w:p w:rsidR="00D506B5" w:rsidRPr="00D506B5" w:rsidRDefault="00D506B5" w:rsidP="00D506B5">
      <w:pPr>
        <w:ind w:left="-709" w:right="-880"/>
        <w:jc w:val="both"/>
        <w:rPr>
          <w:rFonts w:eastAsia="TimesNewRomanPSMT"/>
          <w:sz w:val="26"/>
          <w:szCs w:val="26"/>
        </w:rPr>
      </w:pPr>
      <w:r w:rsidRPr="00D506B5">
        <w:rPr>
          <w:rFonts w:eastAsia="TimesNewRomanPSMT"/>
          <w:b/>
          <w:color w:val="FF0000"/>
          <w:sz w:val="26"/>
          <w:szCs w:val="26"/>
        </w:rPr>
        <w:t>7. Semptom Bildirim Zorunluluğu:</w:t>
      </w:r>
      <w:r w:rsidRPr="00D506B5">
        <w:rPr>
          <w:rFonts w:eastAsia="TimesNewRomanPSMT"/>
          <w:sz w:val="26"/>
          <w:szCs w:val="26"/>
        </w:rPr>
        <w:t xml:space="preserve"> Kendisinde veya aynı ikameti paylaştığı aile bireylerinde yüksek ateş, şiddetli öksürük, nefes darlığı, eklem ağrısı veya ani koku/tat kaybı gibi bulaşıcı hastalık belirtisi olan personel iş yerine gelmeyecektir. Durumu derhal bağlı olduğu Birim amirine bildirmelidir.</w:t>
      </w:r>
    </w:p>
    <w:p w:rsidR="00D506B5" w:rsidRPr="00D506B5" w:rsidRDefault="00D506B5" w:rsidP="00D506B5">
      <w:pPr>
        <w:ind w:left="-709" w:right="-880"/>
        <w:jc w:val="both"/>
        <w:rPr>
          <w:rFonts w:eastAsia="TimesNewRomanPSMT"/>
          <w:sz w:val="26"/>
          <w:szCs w:val="26"/>
        </w:rPr>
      </w:pPr>
      <w:r w:rsidRPr="00D506B5">
        <w:rPr>
          <w:rFonts w:eastAsia="TimesNewRomanPSMT"/>
          <w:b/>
          <w:color w:val="FF0000"/>
          <w:sz w:val="26"/>
          <w:szCs w:val="26"/>
        </w:rPr>
        <w:t>8. Mesai Sırasında Rahatsızlanma Prosedürü:</w:t>
      </w:r>
      <w:r w:rsidRPr="00D506B5">
        <w:rPr>
          <w:rFonts w:eastAsia="TimesNewRomanPSMT"/>
          <w:sz w:val="26"/>
          <w:szCs w:val="26"/>
        </w:rPr>
        <w:t xml:space="preserve"> Çalışma esnasında hastalık belirtisi gösteren personel, yerini terk etmeden birim amirine bilgi vermelidir. Personele derhal tıbbi maske takılarak, durumun iş yeri hekimine haber verilmesi ve işyeri hekiminin direktifi doğrultusunda hareket edilmesi sağlanmalıdır.</w:t>
      </w:r>
    </w:p>
    <w:p w:rsidR="00942756" w:rsidRPr="00D506B5" w:rsidRDefault="00D506B5" w:rsidP="00D506B5">
      <w:pPr>
        <w:ind w:left="-709" w:right="-880"/>
        <w:jc w:val="both"/>
        <w:rPr>
          <w:rFonts w:eastAsia="TimesNewRomanPSMT"/>
          <w:sz w:val="26"/>
          <w:szCs w:val="26"/>
        </w:rPr>
      </w:pPr>
      <w:r w:rsidRPr="00D506B5">
        <w:rPr>
          <w:rFonts w:eastAsia="TimesNewRomanPSMT"/>
          <w:b/>
          <w:color w:val="FF0000"/>
          <w:sz w:val="26"/>
          <w:szCs w:val="26"/>
        </w:rPr>
        <w:t>9.Yurt Dışı ve Seyahat Beyanı:</w:t>
      </w:r>
      <w:r w:rsidRPr="00D506B5">
        <w:rPr>
          <w:rFonts w:eastAsia="TimesNewRomanPSMT"/>
          <w:sz w:val="26"/>
          <w:szCs w:val="26"/>
        </w:rPr>
        <w:t xml:space="preserve"> Salgın veya endemik risk taşıyan bölgelerden ya da yurt dışından dönen personel</w:t>
      </w:r>
      <w:r>
        <w:rPr>
          <w:rFonts w:eastAsia="TimesNewRomanPSMT"/>
          <w:sz w:val="26"/>
          <w:szCs w:val="26"/>
        </w:rPr>
        <w:t xml:space="preserve">, iş başı yapmadan önce seyahat </w:t>
      </w:r>
      <w:bookmarkStart w:id="0" w:name="_GoBack"/>
      <w:bookmarkEnd w:id="0"/>
      <w:r w:rsidRPr="00D506B5">
        <w:rPr>
          <w:rFonts w:eastAsia="TimesNewRomanPSMT"/>
          <w:sz w:val="26"/>
          <w:szCs w:val="26"/>
        </w:rPr>
        <w:t>geçmişini kurumuna beyan etmek, Sağlık Bakanlığı'nın güncel karantina ve gözetim sürelerine riayet etmek zorundadır.</w:t>
      </w:r>
    </w:p>
    <w:sectPr w:rsidR="00942756" w:rsidRPr="00D506B5" w:rsidSect="00BB17F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F4"/>
    <w:rsid w:val="003B2CF4"/>
    <w:rsid w:val="008428F4"/>
    <w:rsid w:val="00942756"/>
    <w:rsid w:val="00BB17FE"/>
    <w:rsid w:val="00C7385E"/>
    <w:rsid w:val="00D506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35C82"/>
  <w15:chartTrackingRefBased/>
  <w15:docId w15:val="{8DBB9499-A8BC-448B-9AFD-CD87E345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B17FE"/>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BB17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B17FE"/>
  </w:style>
  <w:style w:type="table" w:styleId="TabloKlavuzu">
    <w:name w:val="Table Grid"/>
    <w:basedOn w:val="NormalTablo"/>
    <w:uiPriority w:val="39"/>
    <w:rsid w:val="00942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DA244-EB47-4859-83E1-D547F12C1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425</Words>
  <Characters>2424</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Cihat Çelebi</dc:creator>
  <cp:keywords/>
  <dc:description/>
  <cp:lastModifiedBy>Cihat Çelebi</cp:lastModifiedBy>
  <cp:revision>4</cp:revision>
  <dcterms:created xsi:type="dcterms:W3CDTF">2026-08-28T11:01:00Z</dcterms:created>
  <dcterms:modified xsi:type="dcterms:W3CDTF">2026-08-28T11:19:00Z</dcterms:modified>
</cp:coreProperties>
</file>